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50" w:type="dxa"/>
        <w:tblInd w:w="-702" w:type="dxa"/>
        <w:tblLook w:val="04A0" w:firstRow="1" w:lastRow="0" w:firstColumn="1" w:lastColumn="0" w:noHBand="0" w:noVBand="1"/>
      </w:tblPr>
      <w:tblGrid>
        <w:gridCol w:w="4770"/>
        <w:gridCol w:w="4230"/>
        <w:gridCol w:w="4950"/>
      </w:tblGrid>
      <w:tr w:rsidR="00DD14B3" w:rsidRPr="00391493" w:rsidTr="00F11DED">
        <w:tc>
          <w:tcPr>
            <w:tcW w:w="4770" w:type="dxa"/>
            <w:shd w:val="clear" w:color="auto" w:fill="A6A6A6" w:themeFill="background1" w:themeFillShade="A6"/>
          </w:tcPr>
          <w:p w:rsidR="00846163" w:rsidRPr="00391493" w:rsidRDefault="001E3871" w:rsidP="001E3871">
            <w:pPr>
              <w:jc w:val="center"/>
              <w:rPr>
                <w:b/>
                <w:sz w:val="20"/>
              </w:rPr>
            </w:pPr>
            <w:r w:rsidRPr="00391493">
              <w:rPr>
                <w:b/>
                <w:sz w:val="20"/>
              </w:rPr>
              <w:t>Patterns</w:t>
            </w:r>
          </w:p>
        </w:tc>
        <w:tc>
          <w:tcPr>
            <w:tcW w:w="4230" w:type="dxa"/>
            <w:shd w:val="clear" w:color="auto" w:fill="A6A6A6" w:themeFill="background1" w:themeFillShade="A6"/>
          </w:tcPr>
          <w:p w:rsidR="00846163" w:rsidRPr="00391493" w:rsidRDefault="001E3871" w:rsidP="001E3871">
            <w:pPr>
              <w:jc w:val="center"/>
              <w:rPr>
                <w:b/>
                <w:sz w:val="20"/>
              </w:rPr>
            </w:pPr>
            <w:r w:rsidRPr="00391493">
              <w:rPr>
                <w:b/>
                <w:sz w:val="20"/>
              </w:rPr>
              <w:t>Causality</w:t>
            </w:r>
          </w:p>
        </w:tc>
        <w:tc>
          <w:tcPr>
            <w:tcW w:w="4950" w:type="dxa"/>
            <w:shd w:val="clear" w:color="auto" w:fill="A6A6A6" w:themeFill="background1" w:themeFillShade="A6"/>
          </w:tcPr>
          <w:p w:rsidR="00846163" w:rsidRPr="00391493" w:rsidRDefault="001E3871" w:rsidP="001E3871">
            <w:pPr>
              <w:jc w:val="center"/>
              <w:rPr>
                <w:b/>
                <w:sz w:val="20"/>
              </w:rPr>
            </w:pPr>
            <w:r w:rsidRPr="00391493">
              <w:rPr>
                <w:b/>
                <w:sz w:val="20"/>
              </w:rPr>
              <w:t>Systems</w:t>
            </w:r>
          </w:p>
        </w:tc>
      </w:tr>
      <w:tr w:rsidR="00F11DED" w:rsidRPr="00391493" w:rsidTr="00F11DED">
        <w:tc>
          <w:tcPr>
            <w:tcW w:w="4770" w:type="dxa"/>
          </w:tcPr>
          <w:p w:rsidR="00846163" w:rsidRPr="00DD14B3" w:rsidRDefault="00846163">
            <w:pPr>
              <w:rPr>
                <w:b/>
                <w:sz w:val="20"/>
              </w:rPr>
            </w:pPr>
            <w:r w:rsidRPr="00391493">
              <w:rPr>
                <w:sz w:val="20"/>
                <w:u w:val="single"/>
              </w:rPr>
              <w:t>Patterns</w:t>
            </w:r>
            <w:r w:rsidRPr="00391493">
              <w:rPr>
                <w:sz w:val="20"/>
              </w:rPr>
              <w:t xml:space="preserve"> stand alone because patterns are a pervasive aspect of all fields of science and engineering. When first exploring a new phenomenon, children will notice similarities and differences leading to ideas for how they might be classified. The existence of patterns naturally suggests an underlying cause for the pattern. For example, observing snowflakes are all versions of six-side symmetrical shapes suggests something about how molecules pack together when water freezes; or, when repairing a device a technician would look for a certain pattern of failures suggesting an underlying cause. Patterns are also helpful when interpreting data, which may supply valuable evidence in support of an explanation or a particular solution to a problem.</w:t>
            </w:r>
          </w:p>
        </w:tc>
        <w:tc>
          <w:tcPr>
            <w:tcW w:w="4230" w:type="dxa"/>
          </w:tcPr>
          <w:p w:rsidR="00846163" w:rsidRPr="00391493" w:rsidRDefault="00846163">
            <w:pPr>
              <w:rPr>
                <w:sz w:val="20"/>
              </w:rPr>
            </w:pPr>
            <w:r w:rsidRPr="00391493">
              <w:rPr>
                <w:sz w:val="20"/>
                <w:u w:val="single"/>
              </w:rPr>
              <w:t>Cause and effect</w:t>
            </w:r>
            <w:r w:rsidRPr="00391493">
              <w:rPr>
                <w:sz w:val="20"/>
              </w:rPr>
              <w:t xml:space="preserve"> lies at the heart of science. Often the objective of a scientific investigation April 2013 NGSS Release Page 12 of 17 is to find the cause that underlies a phenomenon, first identified by noticing a pattern. Later, the development of theories allows for predictions of new patterns, which then provides evidence in support of the theory. For example, Galileo’s observation that a ball rolling down an incline gathers speed at a constant rate eventually led to Newton’s Second Law of Motion, which in turn provided predictions about regular patterns of planetary motion, and a means to guide space probes to their destinations.</w:t>
            </w:r>
          </w:p>
        </w:tc>
        <w:tc>
          <w:tcPr>
            <w:tcW w:w="4950" w:type="dxa"/>
          </w:tcPr>
          <w:p w:rsidR="00846163" w:rsidRPr="00391493" w:rsidRDefault="00846163" w:rsidP="00846163">
            <w:pPr>
              <w:rPr>
                <w:sz w:val="20"/>
              </w:rPr>
            </w:pPr>
            <w:r w:rsidRPr="00391493">
              <w:rPr>
                <w:sz w:val="20"/>
                <w:u w:val="single"/>
              </w:rPr>
              <w:t>Systems and system models</w:t>
            </w:r>
            <w:r w:rsidRPr="00391493">
              <w:rPr>
                <w:sz w:val="20"/>
              </w:rPr>
              <w:t xml:space="preserve"> are used by scientists and engineers to investigate natural and designed systems. The purpose of an investigation might be to explore how the system functions, or what may be going wrong. Sometimes investigations are too dangerous or expensive to try out without first experimenting with a model. </w:t>
            </w:r>
          </w:p>
          <w:p w:rsidR="00846163" w:rsidRPr="00391493" w:rsidRDefault="00846163">
            <w:pPr>
              <w:rPr>
                <w:sz w:val="20"/>
              </w:rPr>
            </w:pPr>
          </w:p>
        </w:tc>
      </w:tr>
      <w:tr w:rsidR="00F11DED" w:rsidRPr="00391493" w:rsidTr="00F11DED">
        <w:tc>
          <w:tcPr>
            <w:tcW w:w="4770" w:type="dxa"/>
          </w:tcPr>
          <w:p w:rsidR="00846163" w:rsidRPr="00391493" w:rsidRDefault="00846163">
            <w:pPr>
              <w:rPr>
                <w:sz w:val="20"/>
              </w:rPr>
            </w:pPr>
          </w:p>
        </w:tc>
        <w:tc>
          <w:tcPr>
            <w:tcW w:w="4230" w:type="dxa"/>
          </w:tcPr>
          <w:p w:rsidR="00846163" w:rsidRPr="00391493" w:rsidRDefault="00846163" w:rsidP="00846163">
            <w:pPr>
              <w:rPr>
                <w:b/>
                <w:sz w:val="20"/>
              </w:rPr>
            </w:pPr>
            <w:r w:rsidRPr="00391493">
              <w:rPr>
                <w:sz w:val="20"/>
                <w:u w:val="single"/>
              </w:rPr>
              <w:t>Structure and function</w:t>
            </w:r>
            <w:r w:rsidRPr="00391493">
              <w:rPr>
                <w:sz w:val="20"/>
              </w:rPr>
              <w:t xml:space="preserve"> can be thought of as a special case of cause and effect. Whether the structures in question are living tissue or molecules in the atmosphere, understanding their structure is essential to making causal inferences. Engineers make such inferences when examining structures in nature as inspirations for designs to meet people’s needs.</w:t>
            </w:r>
          </w:p>
          <w:p w:rsidR="00846163" w:rsidRPr="00391493" w:rsidRDefault="00846163">
            <w:pPr>
              <w:rPr>
                <w:sz w:val="20"/>
              </w:rPr>
            </w:pPr>
          </w:p>
        </w:tc>
        <w:tc>
          <w:tcPr>
            <w:tcW w:w="4950" w:type="dxa"/>
          </w:tcPr>
          <w:p w:rsidR="00846163" w:rsidRPr="00391493" w:rsidRDefault="00846163" w:rsidP="00846163">
            <w:pPr>
              <w:rPr>
                <w:sz w:val="20"/>
              </w:rPr>
            </w:pPr>
            <w:r w:rsidRPr="00391493">
              <w:rPr>
                <w:sz w:val="20"/>
                <w:u w:val="single"/>
              </w:rPr>
              <w:t>Scale, proportion, and quantity</w:t>
            </w:r>
            <w:r w:rsidRPr="00391493">
              <w:rPr>
                <w:sz w:val="20"/>
              </w:rPr>
              <w:t xml:space="preserve"> are essential considerations when deciding how to model a phenomenon. For example, when testing a scale model of a new airplane wing in a wind tunnel, it is essential to get the proportions right and measure accurately or the results will not be valid. When using a computer simulation of an ecosystem, it is important to use informed estimates of population sizes to make reasonably accurate predictions. Mathematics is essential in both science and engineering. </w:t>
            </w:r>
          </w:p>
          <w:p w:rsidR="00846163" w:rsidRPr="00391493" w:rsidRDefault="00846163">
            <w:pPr>
              <w:rPr>
                <w:sz w:val="20"/>
              </w:rPr>
            </w:pPr>
          </w:p>
        </w:tc>
      </w:tr>
      <w:tr w:rsidR="00F11DED" w:rsidRPr="00391493" w:rsidTr="00F11DED">
        <w:tc>
          <w:tcPr>
            <w:tcW w:w="4770" w:type="dxa"/>
          </w:tcPr>
          <w:p w:rsidR="00846163" w:rsidRPr="00391493" w:rsidRDefault="00846163">
            <w:pPr>
              <w:rPr>
                <w:sz w:val="20"/>
              </w:rPr>
            </w:pPr>
          </w:p>
        </w:tc>
        <w:tc>
          <w:tcPr>
            <w:tcW w:w="4230" w:type="dxa"/>
          </w:tcPr>
          <w:p w:rsidR="00846163" w:rsidRPr="00391493" w:rsidRDefault="00846163">
            <w:pPr>
              <w:rPr>
                <w:sz w:val="20"/>
              </w:rPr>
            </w:pPr>
          </w:p>
        </w:tc>
        <w:tc>
          <w:tcPr>
            <w:tcW w:w="4950" w:type="dxa"/>
          </w:tcPr>
          <w:p w:rsidR="00846163" w:rsidRPr="00391493" w:rsidRDefault="00846163">
            <w:pPr>
              <w:rPr>
                <w:sz w:val="20"/>
              </w:rPr>
            </w:pPr>
            <w:r w:rsidRPr="00391493">
              <w:rPr>
                <w:sz w:val="20"/>
                <w:u w:val="single"/>
              </w:rPr>
              <w:t>Energy and matter</w:t>
            </w:r>
            <w:r w:rsidRPr="00391493">
              <w:rPr>
                <w:sz w:val="20"/>
              </w:rPr>
              <w:t xml:space="preserve"> are basic to any systems model, whether of a natural or a designed system. Systems are described in terms of matter and energy. Often the focus of an investigation is to determine how energy or matter flows through the system, or in the case of engineering to modify the system, so a given energy input results in a more useful energy output.</w:t>
            </w:r>
          </w:p>
        </w:tc>
      </w:tr>
      <w:tr w:rsidR="00F11DED" w:rsidRPr="00391493" w:rsidTr="00F11DED">
        <w:tc>
          <w:tcPr>
            <w:tcW w:w="4770" w:type="dxa"/>
          </w:tcPr>
          <w:p w:rsidR="00846163" w:rsidRPr="00391493" w:rsidRDefault="00846163">
            <w:pPr>
              <w:rPr>
                <w:sz w:val="20"/>
              </w:rPr>
            </w:pPr>
            <w:bookmarkStart w:id="0" w:name="_GoBack"/>
            <w:bookmarkEnd w:id="0"/>
          </w:p>
        </w:tc>
        <w:tc>
          <w:tcPr>
            <w:tcW w:w="4230" w:type="dxa"/>
          </w:tcPr>
          <w:p w:rsidR="00846163" w:rsidRPr="00391493" w:rsidRDefault="00846163">
            <w:pPr>
              <w:rPr>
                <w:sz w:val="20"/>
              </w:rPr>
            </w:pPr>
          </w:p>
        </w:tc>
        <w:tc>
          <w:tcPr>
            <w:tcW w:w="4950" w:type="dxa"/>
          </w:tcPr>
          <w:p w:rsidR="00846163" w:rsidRPr="00391493" w:rsidRDefault="00846163">
            <w:pPr>
              <w:rPr>
                <w:sz w:val="20"/>
              </w:rPr>
            </w:pPr>
            <w:r w:rsidRPr="00391493">
              <w:rPr>
                <w:sz w:val="20"/>
                <w:u w:val="single"/>
              </w:rPr>
              <w:t>Stability and change</w:t>
            </w:r>
            <w:r w:rsidRPr="00391493">
              <w:rPr>
                <w:sz w:val="20"/>
              </w:rPr>
              <w:t xml:space="preserve"> are ways of describing how a system functions. Whether studying ecosystems or engineered systems, the question is often to determine how the system is changing over time, and which factors are causing the system to become unstable.</w:t>
            </w:r>
          </w:p>
        </w:tc>
      </w:tr>
    </w:tbl>
    <w:p w:rsidR="00CA42DE" w:rsidRDefault="0008319A" w:rsidP="007D32D7">
      <w:pPr>
        <w:ind w:right="-3312"/>
      </w:pPr>
    </w:p>
    <w:sectPr w:rsidR="00CA42DE" w:rsidSect="007D32D7">
      <w:headerReference w:type="default" r:id="rId7"/>
      <w:pgSz w:w="15840" w:h="12240" w:orient="landscape"/>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9A" w:rsidRDefault="0008319A" w:rsidP="002917F0">
      <w:pPr>
        <w:spacing w:after="0" w:line="240" w:lineRule="auto"/>
      </w:pPr>
      <w:r>
        <w:separator/>
      </w:r>
    </w:p>
  </w:endnote>
  <w:endnote w:type="continuationSeparator" w:id="0">
    <w:p w:rsidR="0008319A" w:rsidRDefault="0008319A" w:rsidP="0029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9A" w:rsidRDefault="0008319A" w:rsidP="002917F0">
      <w:pPr>
        <w:spacing w:after="0" w:line="240" w:lineRule="auto"/>
      </w:pPr>
      <w:r>
        <w:separator/>
      </w:r>
    </w:p>
  </w:footnote>
  <w:footnote w:type="continuationSeparator" w:id="0">
    <w:p w:rsidR="0008319A" w:rsidRDefault="0008319A" w:rsidP="00291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8A" w:rsidRPr="00E4048A" w:rsidRDefault="002209A1" w:rsidP="002917F0">
    <w:pPr>
      <w:pStyle w:val="Header"/>
      <w:jc w:val="center"/>
      <w:rPr>
        <w:b/>
        <w:sz w:val="28"/>
      </w:rPr>
    </w:pPr>
    <w:r w:rsidRPr="00E4048A">
      <w:rPr>
        <w:b/>
        <w:sz w:val="28"/>
      </w:rPr>
      <w:t>INTERCONNECTIONS</w:t>
    </w:r>
    <w:r w:rsidRPr="00E4048A">
      <w:rPr>
        <w:b/>
        <w:sz w:val="28"/>
      </w:rPr>
      <w:t xml:space="preserve"> OF </w:t>
    </w:r>
    <w:r w:rsidR="002917F0" w:rsidRPr="00E4048A">
      <w:rPr>
        <w:b/>
        <w:sz w:val="28"/>
      </w:rPr>
      <w:t>CROSSCUTTING CONCEPTS</w:t>
    </w:r>
  </w:p>
  <w:p w:rsidR="002917F0" w:rsidRPr="00E4048A" w:rsidRDefault="00E4048A" w:rsidP="002917F0">
    <w:pPr>
      <w:pStyle w:val="Header"/>
      <w:jc w:val="center"/>
      <w:rPr>
        <w:b/>
        <w:sz w:val="28"/>
      </w:rPr>
    </w:pPr>
    <w:r w:rsidRPr="00E4048A">
      <w:rPr>
        <w:b/>
        <w:sz w:val="28"/>
      </w:rPr>
      <w:t>FROM APPENDIX G</w:t>
    </w:r>
    <w:r w:rsidR="002917F0" w:rsidRPr="00E4048A">
      <w:rPr>
        <w:b/>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63"/>
    <w:rsid w:val="0008319A"/>
    <w:rsid w:val="001E3871"/>
    <w:rsid w:val="002209A1"/>
    <w:rsid w:val="002917F0"/>
    <w:rsid w:val="00320EE7"/>
    <w:rsid w:val="003718C3"/>
    <w:rsid w:val="00375DF3"/>
    <w:rsid w:val="00391493"/>
    <w:rsid w:val="003E2571"/>
    <w:rsid w:val="007D32D7"/>
    <w:rsid w:val="00846163"/>
    <w:rsid w:val="0092216A"/>
    <w:rsid w:val="00C66915"/>
    <w:rsid w:val="00CF7166"/>
    <w:rsid w:val="00D8608D"/>
    <w:rsid w:val="00DD14B3"/>
    <w:rsid w:val="00E4048A"/>
    <w:rsid w:val="00F11DED"/>
    <w:rsid w:val="00F859BE"/>
    <w:rsid w:val="00F85EF2"/>
    <w:rsid w:val="00FC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F0"/>
  </w:style>
  <w:style w:type="paragraph" w:styleId="Footer">
    <w:name w:val="footer"/>
    <w:basedOn w:val="Normal"/>
    <w:link w:val="FooterChar"/>
    <w:uiPriority w:val="99"/>
    <w:unhideWhenUsed/>
    <w:rsid w:val="0029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F0"/>
  </w:style>
  <w:style w:type="paragraph" w:styleId="Footer">
    <w:name w:val="footer"/>
    <w:basedOn w:val="Normal"/>
    <w:link w:val="FooterChar"/>
    <w:uiPriority w:val="99"/>
    <w:unhideWhenUsed/>
    <w:rsid w:val="0029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Chris - Division of Program Standards</dc:creator>
  <cp:lastModifiedBy>Bentley, Chris - Division of Program Standards</cp:lastModifiedBy>
  <cp:revision>1</cp:revision>
  <dcterms:created xsi:type="dcterms:W3CDTF">2016-03-23T15:00:00Z</dcterms:created>
  <dcterms:modified xsi:type="dcterms:W3CDTF">2016-03-23T15:22:00Z</dcterms:modified>
</cp:coreProperties>
</file>